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610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仿宋_GB2312" w:cs="Times New Roman"/>
          <w:color w:val="000000"/>
          <w:kern w:val="2"/>
          <w:sz w:val="21"/>
          <w:szCs w:val="21"/>
        </w:rPr>
      </w:pPr>
      <w:r>
        <w:rPr>
          <w:rFonts w:hint="eastAsia" w:ascii="方正小标宋_GBK" w:hAnsi="方正小标宋_GBK" w:eastAsia="方正小标宋_GBK" w:cs="方正小标宋_GBK"/>
          <w:color w:val="000000"/>
          <w:kern w:val="2"/>
          <w:sz w:val="32"/>
          <w:szCs w:val="32"/>
          <w:lang w:val="en-US" w:eastAsia="zh-CN" w:bidi="ar"/>
        </w:rPr>
        <w:t>泉州幼儿师范高等专科学校财政一体化系统资产模块数据接口服务采购项目单一来源采购文件</w:t>
      </w:r>
      <w:r>
        <w:rPr>
          <w:rFonts w:hint="default" w:ascii="Times New Roman" w:hAnsi="Times New Roman" w:eastAsia="仿宋_GB2312" w:cs="Times New Roman"/>
          <w:color w:val="000000"/>
          <w:kern w:val="2"/>
          <w:sz w:val="21"/>
          <w:szCs w:val="21"/>
          <w:lang w:val="en-US" w:eastAsia="zh-CN" w:bidi="ar"/>
        </w:rPr>
        <w:t xml:space="preserve"> </w:t>
      </w:r>
    </w:p>
    <w:p w14:paraId="1E0539F4">
      <w:pPr>
        <w:keepNext w:val="0"/>
        <w:keepLines w:val="0"/>
        <w:widowControl w:val="0"/>
        <w:suppressLineNumbers w:val="0"/>
        <w:autoSpaceDE w:val="0"/>
        <w:autoSpaceDN w:val="0"/>
        <w:adjustRightInd w:val="0"/>
        <w:spacing w:before="0" w:beforeAutospacing="0" w:after="0" w:afterAutospacing="0" w:line="56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一、采购货物一览表</w:t>
      </w:r>
    </w:p>
    <w:tbl>
      <w:tblPr>
        <w:tblStyle w:val="3"/>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57" w:type="dxa"/>
          <w:bottom w:w="0" w:type="dxa"/>
          <w:right w:w="57" w:type="dxa"/>
        </w:tblCellMar>
      </w:tblPr>
      <w:tblGrid>
        <w:gridCol w:w="1129"/>
        <w:gridCol w:w="1134"/>
        <w:gridCol w:w="3402"/>
        <w:gridCol w:w="1559"/>
        <w:gridCol w:w="1646"/>
      </w:tblGrid>
      <w:tr w14:paraId="2CA95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57" w:type="dxa"/>
            <w:bottom w:w="0" w:type="dxa"/>
            <w:right w:w="57" w:type="dxa"/>
          </w:tblCellMar>
        </w:tblPrEx>
        <w:trPr>
          <w:trHeight w:val="567" w:hRule="atLeast"/>
          <w:jc w:val="center"/>
        </w:trPr>
        <w:tc>
          <w:tcPr>
            <w:tcW w:w="1129" w:type="dxa"/>
            <w:tcBorders>
              <w:top w:val="single" w:color="auto" w:sz="4" w:space="0"/>
              <w:left w:val="single" w:color="auto" w:sz="4" w:space="0"/>
              <w:bottom w:val="single" w:color="auto" w:sz="4" w:space="0"/>
              <w:right w:val="single" w:color="auto" w:sz="4" w:space="0"/>
            </w:tcBorders>
            <w:shd w:val="clear" w:color="auto" w:fill="auto"/>
            <w:vAlign w:val="center"/>
          </w:tcPr>
          <w:p w14:paraId="03C5AF6C">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rPr>
            </w:pPr>
            <w:r>
              <w:rPr>
                <w:rFonts w:hint="eastAsia" w:ascii="仿宋_GB2312" w:hAnsi="Calibri" w:eastAsia="仿宋_GB2312" w:cs="仿宋_GB2312"/>
                <w:color w:val="000000"/>
                <w:kern w:val="2"/>
                <w:sz w:val="21"/>
                <w:szCs w:val="21"/>
                <w:lang w:val="en-US" w:eastAsia="zh-CN" w:bidi="ar"/>
              </w:rPr>
              <w:t>合同包</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339461BA">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rPr>
            </w:pPr>
            <w:r>
              <w:rPr>
                <w:rFonts w:hint="eastAsia" w:ascii="仿宋_GB2312" w:hAnsi="Calibri" w:eastAsia="仿宋_GB2312" w:cs="仿宋_GB2312"/>
                <w:color w:val="000000"/>
                <w:kern w:val="2"/>
                <w:sz w:val="21"/>
                <w:szCs w:val="21"/>
                <w:lang w:val="en-US" w:eastAsia="zh-CN" w:bidi="ar"/>
              </w:rPr>
              <w:t>品目号</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071B9B58">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rPr>
            </w:pPr>
            <w:r>
              <w:rPr>
                <w:rFonts w:hint="eastAsia" w:ascii="仿宋_GB2312" w:hAnsi="Calibri" w:eastAsia="仿宋_GB2312" w:cs="仿宋_GB2312"/>
                <w:color w:val="000000"/>
                <w:kern w:val="2"/>
                <w:sz w:val="21"/>
                <w:szCs w:val="21"/>
                <w:lang w:val="en-US" w:eastAsia="zh-CN" w:bidi="ar"/>
              </w:rPr>
              <w:t>采购服务名称</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782DD163">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rPr>
            </w:pPr>
            <w:r>
              <w:rPr>
                <w:rFonts w:hint="eastAsia" w:ascii="仿宋_GB2312" w:hAnsi="Calibri" w:eastAsia="仿宋_GB2312" w:cs="仿宋_GB2312"/>
                <w:color w:val="000000"/>
                <w:kern w:val="2"/>
                <w:sz w:val="21"/>
                <w:szCs w:val="21"/>
                <w:lang w:val="en-US" w:eastAsia="zh-CN" w:bidi="ar"/>
              </w:rPr>
              <w:t>服务期限</w:t>
            </w:r>
          </w:p>
        </w:tc>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750D7830">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rPr>
            </w:pPr>
            <w:r>
              <w:rPr>
                <w:rFonts w:hint="eastAsia" w:ascii="仿宋_GB2312" w:hAnsi="Calibri" w:eastAsia="仿宋_GB2312" w:cs="仿宋_GB2312"/>
                <w:color w:val="000000"/>
                <w:kern w:val="2"/>
                <w:sz w:val="21"/>
                <w:szCs w:val="21"/>
                <w:lang w:val="en-US" w:eastAsia="zh-CN" w:bidi="ar"/>
              </w:rPr>
              <w:t>预算金额（元）</w:t>
            </w:r>
          </w:p>
        </w:tc>
      </w:tr>
      <w:tr w14:paraId="2094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tcBorders>
              <w:top w:val="nil"/>
              <w:left w:val="single" w:color="auto" w:sz="4" w:space="0"/>
              <w:bottom w:val="single" w:color="auto" w:sz="4" w:space="0"/>
              <w:right w:val="single" w:color="auto" w:sz="4" w:space="0"/>
            </w:tcBorders>
            <w:shd w:val="clear" w:color="auto" w:fill="auto"/>
            <w:vAlign w:val="center"/>
          </w:tcPr>
          <w:p w14:paraId="48C8CF3E">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rPr>
            </w:pPr>
            <w:r>
              <w:rPr>
                <w:rFonts w:hint="default" w:ascii="Calibri" w:hAnsi="Calibri" w:eastAsia="仿宋_GB2312" w:cs="Times New Roman"/>
                <w:color w:val="000000"/>
                <w:kern w:val="2"/>
                <w:sz w:val="21"/>
                <w:szCs w:val="21"/>
                <w:lang w:val="en-US" w:eastAsia="zh-CN" w:bidi="ar"/>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F49460F">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2"/>
                <w:szCs w:val="22"/>
              </w:rPr>
            </w:pPr>
            <w:r>
              <w:rPr>
                <w:rFonts w:hint="default" w:ascii="Calibri" w:hAnsi="Calibri" w:eastAsia="仿宋_GB2312" w:cs="Times New Roman"/>
                <w:color w:val="000000"/>
                <w:kern w:val="2"/>
                <w:sz w:val="22"/>
                <w:szCs w:val="22"/>
                <w:lang w:val="en-US" w:eastAsia="zh-CN" w:bidi="ar"/>
              </w:rPr>
              <w:t>1</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3769FEE5">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2"/>
                <w:szCs w:val="22"/>
              </w:rPr>
            </w:pPr>
            <w:r>
              <w:rPr>
                <w:rFonts w:hint="eastAsia" w:ascii="Calibri" w:hAnsi="Calibri" w:eastAsia="仿宋_GB2312" w:cs="Times New Roman"/>
                <w:color w:val="000000"/>
                <w:kern w:val="2"/>
                <w:sz w:val="22"/>
                <w:szCs w:val="22"/>
                <w:lang w:val="en-US" w:eastAsia="zh-CN"/>
              </w:rPr>
              <w:t>财政一体化系统资产模块数据接口服务采购项目</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30AE6E82">
            <w:pPr>
              <w:keepNext w:val="0"/>
              <w:keepLines w:val="0"/>
              <w:widowControl w:val="0"/>
              <w:suppressLineNumbers w:val="0"/>
              <w:spacing w:before="0" w:beforeAutospacing="0" w:after="0" w:afterAutospacing="0" w:line="280" w:lineRule="exact"/>
              <w:ind w:left="0" w:right="0"/>
              <w:jc w:val="center"/>
              <w:rPr>
                <w:rFonts w:hint="eastAsia" w:ascii="Calibri" w:hAnsi="Calibri" w:eastAsia="仿宋_GB2312" w:cs="Times New Roman"/>
                <w:color w:val="000000"/>
                <w:kern w:val="2"/>
                <w:sz w:val="22"/>
                <w:szCs w:val="22"/>
                <w:lang w:val="en-US" w:eastAsia="zh-CN"/>
              </w:rPr>
            </w:pPr>
            <w:r>
              <w:rPr>
                <w:rFonts w:hint="eastAsia" w:ascii="Calibri" w:hAnsi="Calibri" w:eastAsia="仿宋_GB2312" w:cs="Times New Roman"/>
                <w:color w:val="000000"/>
                <w:kern w:val="2"/>
                <w:sz w:val="22"/>
                <w:szCs w:val="22"/>
                <w:lang w:val="en-US" w:eastAsia="zh-CN"/>
              </w:rPr>
              <w:t>12个月</w:t>
            </w:r>
          </w:p>
        </w:tc>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295E3169">
            <w:pPr>
              <w:keepNext w:val="0"/>
              <w:keepLines w:val="0"/>
              <w:widowControl w:val="0"/>
              <w:suppressLineNumbers w:val="0"/>
              <w:spacing w:before="0" w:beforeAutospacing="0" w:after="0" w:afterAutospacing="0" w:line="280" w:lineRule="exact"/>
              <w:ind w:left="0" w:right="0"/>
              <w:jc w:val="center"/>
              <w:rPr>
                <w:rFonts w:hint="eastAsia" w:ascii="Calibri" w:hAnsi="Calibri" w:eastAsia="仿宋_GB2312" w:cs="Times New Roman"/>
                <w:color w:val="000000"/>
                <w:kern w:val="2"/>
                <w:sz w:val="22"/>
                <w:szCs w:val="22"/>
                <w:lang w:val="en-US" w:eastAsia="zh-CN"/>
              </w:rPr>
            </w:pPr>
            <w:r>
              <w:rPr>
                <w:rFonts w:hint="eastAsia" w:ascii="Calibri" w:hAnsi="Calibri" w:eastAsia="仿宋_GB2312" w:cs="Times New Roman"/>
                <w:color w:val="000000"/>
                <w:kern w:val="2"/>
                <w:sz w:val="22"/>
                <w:szCs w:val="22"/>
                <w:lang w:val="en-US" w:eastAsia="zh-CN"/>
              </w:rPr>
              <w:t>48000元</w:t>
            </w:r>
          </w:p>
        </w:tc>
      </w:tr>
    </w:tbl>
    <w:p w14:paraId="1EA57685">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二、服务内容及相关要求</w:t>
      </w:r>
    </w:p>
    <w:tbl>
      <w:tblPr>
        <w:tblStyle w:val="3"/>
        <w:tblW w:w="10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4"/>
        <w:gridCol w:w="8140"/>
      </w:tblGrid>
      <w:tr w14:paraId="73AD6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2044" w:type="dxa"/>
            <w:tcBorders>
              <w:bottom w:val="single" w:color="auto" w:sz="4" w:space="0"/>
              <w:right w:val="single" w:color="auto" w:sz="4" w:space="0"/>
            </w:tcBorders>
            <w:vAlign w:val="center"/>
          </w:tcPr>
          <w:p w14:paraId="6ADCEB9C">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color w:val="auto"/>
                <w:sz w:val="22"/>
                <w:szCs w:val="22"/>
              </w:rPr>
            </w:pPr>
            <w:r>
              <w:rPr>
                <w:rFonts w:hint="eastAsia" w:ascii="楷体" w:hAnsi="楷体" w:eastAsia="楷体" w:cs="楷体"/>
                <w:b/>
                <w:color w:val="auto"/>
                <w:sz w:val="22"/>
                <w:szCs w:val="22"/>
              </w:rPr>
              <w:t>总体要求</w:t>
            </w:r>
          </w:p>
        </w:tc>
        <w:tc>
          <w:tcPr>
            <w:tcW w:w="8140" w:type="dxa"/>
            <w:tcBorders>
              <w:left w:val="single" w:color="auto" w:sz="4" w:space="0"/>
              <w:bottom w:val="single" w:color="auto" w:sz="4" w:space="0"/>
            </w:tcBorders>
            <w:shd w:val="clear" w:color="auto" w:fill="auto"/>
            <w:vAlign w:val="center"/>
          </w:tcPr>
          <w:p w14:paraId="5BFC23C7">
            <w:pPr>
              <w:pStyle w:val="7"/>
              <w:keepNext w:val="0"/>
              <w:keepLines w:val="0"/>
              <w:pageBreakBefore w:val="0"/>
              <w:widowControl w:val="0"/>
              <w:numPr>
                <w:ilvl w:val="0"/>
                <w:numId w:val="1"/>
              </w:numPr>
              <w:suppressLineNumbers w:val="0"/>
              <w:kinsoku/>
              <w:wordWrap/>
              <w:overflowPunct/>
              <w:topLinePunct w:val="0"/>
              <w:autoSpaceDE/>
              <w:autoSpaceDN/>
              <w:bidi w:val="0"/>
              <w:adjustRightInd/>
              <w:spacing w:before="0" w:beforeAutospacing="0" w:after="0" w:afterAutospacing="0" w:line="500" w:lineRule="exact"/>
              <w:ind w:left="360" w:leftChars="0" w:right="0" w:rightChars="0" w:hanging="360" w:firstLineChars="0"/>
              <w:jc w:val="left"/>
              <w:textAlignment w:val="auto"/>
              <w:rPr>
                <w:rFonts w:hint="eastAsia" w:ascii="楷体" w:hAnsi="楷体" w:eastAsia="楷体" w:cs="楷体"/>
                <w:color w:val="auto"/>
                <w:kern w:val="2"/>
                <w:sz w:val="24"/>
                <w:szCs w:val="24"/>
                <w:lang w:val="en-US" w:eastAsia="zh-CN" w:bidi="ar-SA"/>
              </w:rPr>
            </w:pPr>
            <w:r>
              <w:rPr>
                <w:rFonts w:hint="eastAsia" w:ascii="楷体" w:hAnsi="楷体" w:eastAsia="楷体" w:cs="楷体"/>
                <w:bCs/>
                <w:color w:val="auto"/>
                <w:sz w:val="24"/>
                <w:szCs w:val="24"/>
              </w:rPr>
              <w:t>参与报价企业应根据我校实际需求提供真实可靠的技术方案，内容包括数据源管理、数据体检、数据对接福建省财政一体化系统并完成数据上报等相关内容；</w:t>
            </w:r>
          </w:p>
        </w:tc>
      </w:tr>
      <w:tr w14:paraId="06138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2044" w:type="dxa"/>
            <w:tcBorders>
              <w:bottom w:val="single" w:color="auto" w:sz="4" w:space="0"/>
              <w:right w:val="single" w:color="auto" w:sz="4" w:space="0"/>
            </w:tcBorders>
            <w:vAlign w:val="center"/>
          </w:tcPr>
          <w:p w14:paraId="5433767F">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color w:val="auto"/>
                <w:sz w:val="22"/>
                <w:szCs w:val="22"/>
              </w:rPr>
            </w:pPr>
            <w:r>
              <w:rPr>
                <w:rFonts w:hint="eastAsia" w:ascii="楷体" w:hAnsi="楷体" w:eastAsia="楷体" w:cs="楷体"/>
                <w:b/>
                <w:color w:val="auto"/>
                <w:sz w:val="22"/>
                <w:szCs w:val="22"/>
              </w:rPr>
              <w:t>服务内容</w:t>
            </w:r>
          </w:p>
        </w:tc>
        <w:tc>
          <w:tcPr>
            <w:tcW w:w="8140" w:type="dxa"/>
            <w:tcBorders>
              <w:left w:val="single" w:color="auto" w:sz="4" w:space="0"/>
              <w:bottom w:val="single" w:color="auto" w:sz="4" w:space="0"/>
            </w:tcBorders>
            <w:vAlign w:val="center"/>
          </w:tcPr>
          <w:p w14:paraId="65470F36">
            <w:pPr>
              <w:pStyle w:val="7"/>
              <w:keepNext w:val="0"/>
              <w:keepLines w:val="0"/>
              <w:pageBreakBefore w:val="0"/>
              <w:widowControl w:val="0"/>
              <w:numPr>
                <w:ilvl w:val="0"/>
                <w:numId w:val="1"/>
              </w:numPr>
              <w:kinsoku/>
              <w:wordWrap/>
              <w:overflowPunct/>
              <w:topLinePunct w:val="0"/>
              <w:autoSpaceDE/>
              <w:autoSpaceDN/>
              <w:bidi w:val="0"/>
              <w:adjustRightInd/>
              <w:spacing w:line="500" w:lineRule="exact"/>
              <w:ind w:firstLineChars="0"/>
              <w:jc w:val="left"/>
              <w:textAlignment w:val="auto"/>
              <w:rPr>
                <w:rFonts w:hint="eastAsia" w:ascii="楷体" w:hAnsi="楷体" w:eastAsia="楷体" w:cs="楷体"/>
                <w:bCs/>
                <w:color w:val="auto"/>
                <w:sz w:val="24"/>
                <w:szCs w:val="24"/>
              </w:rPr>
            </w:pPr>
            <w:r>
              <w:rPr>
                <w:rFonts w:hint="eastAsia" w:ascii="楷体" w:hAnsi="楷体" w:eastAsia="楷体" w:cs="楷体"/>
                <w:color w:val="auto"/>
                <w:kern w:val="0"/>
                <w:sz w:val="24"/>
                <w:szCs w:val="32"/>
                <w:lang w:bidi="ar"/>
              </w:rPr>
              <w:t>数据同步：协助并实现与市级现有资产管理系统的对接，实现资产数据实时同步给市财政系统。同步的数据包括资产信息卡数据、资产使用数据、资产处置数据等；数据对接包括福建省财政一体化系统。</w:t>
            </w:r>
          </w:p>
        </w:tc>
      </w:tr>
      <w:tr w14:paraId="34DE0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jc w:val="center"/>
        </w:trPr>
        <w:tc>
          <w:tcPr>
            <w:tcW w:w="2044" w:type="dxa"/>
            <w:tcBorders>
              <w:top w:val="single" w:color="auto" w:sz="4" w:space="0"/>
              <w:bottom w:val="single" w:color="auto" w:sz="4" w:space="0"/>
              <w:right w:val="single" w:color="auto" w:sz="4" w:space="0"/>
            </w:tcBorders>
            <w:vAlign w:val="center"/>
          </w:tcPr>
          <w:p w14:paraId="00960425">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color w:val="auto"/>
                <w:sz w:val="22"/>
                <w:szCs w:val="22"/>
              </w:rPr>
            </w:pPr>
            <w:r>
              <w:rPr>
                <w:rFonts w:hint="eastAsia" w:ascii="楷体" w:hAnsi="楷体" w:eastAsia="楷体" w:cs="楷体"/>
                <w:b/>
                <w:color w:val="auto"/>
                <w:sz w:val="22"/>
                <w:szCs w:val="22"/>
              </w:rPr>
              <w:t>售后服务</w:t>
            </w:r>
          </w:p>
        </w:tc>
        <w:tc>
          <w:tcPr>
            <w:tcW w:w="8140" w:type="dxa"/>
            <w:tcBorders>
              <w:top w:val="single" w:color="auto" w:sz="4" w:space="0"/>
              <w:left w:val="single" w:color="auto" w:sz="4" w:space="0"/>
              <w:bottom w:val="single" w:color="auto" w:sz="4" w:space="0"/>
            </w:tcBorders>
            <w:vAlign w:val="center"/>
          </w:tcPr>
          <w:p w14:paraId="0C324523">
            <w:pPr>
              <w:pStyle w:val="7"/>
              <w:keepNext w:val="0"/>
              <w:keepLines w:val="0"/>
              <w:pageBreakBefore w:val="0"/>
              <w:widowControl w:val="0"/>
              <w:numPr>
                <w:ilvl w:val="0"/>
                <w:numId w:val="1"/>
              </w:numPr>
              <w:kinsoku/>
              <w:wordWrap/>
              <w:overflowPunct/>
              <w:topLinePunct w:val="0"/>
              <w:autoSpaceDE/>
              <w:autoSpaceDN/>
              <w:bidi w:val="0"/>
              <w:adjustRightInd/>
              <w:spacing w:line="500" w:lineRule="exact"/>
              <w:ind w:firstLineChars="0"/>
              <w:jc w:val="left"/>
              <w:textAlignment w:val="auto"/>
              <w:rPr>
                <w:rFonts w:hint="eastAsia" w:ascii="楷体" w:hAnsi="楷体" w:eastAsia="楷体" w:cs="楷体"/>
                <w:bCs/>
                <w:color w:val="auto"/>
                <w:sz w:val="24"/>
                <w:szCs w:val="24"/>
              </w:rPr>
            </w:pPr>
            <w:r>
              <w:rPr>
                <w:rFonts w:hint="eastAsia" w:ascii="楷体" w:hAnsi="楷体" w:eastAsia="楷体" w:cs="楷体"/>
                <w:bCs/>
                <w:color w:val="auto"/>
                <w:sz w:val="24"/>
                <w:szCs w:val="24"/>
              </w:rPr>
              <w:t>保证有专业维护队伍提供维护保障，确保</w:t>
            </w:r>
            <w:r>
              <w:rPr>
                <w:rFonts w:hint="eastAsia" w:ascii="楷体" w:hAnsi="楷体" w:eastAsia="楷体" w:cs="楷体"/>
                <w:bCs/>
                <w:color w:val="auto"/>
                <w:sz w:val="24"/>
                <w:szCs w:val="24"/>
                <w:lang w:val="en-US" w:eastAsia="zh-CN"/>
              </w:rPr>
              <w:t>数据正常同步上报</w:t>
            </w:r>
            <w:r>
              <w:rPr>
                <w:rFonts w:hint="eastAsia" w:ascii="楷体" w:hAnsi="楷体" w:eastAsia="楷体" w:cs="楷体"/>
                <w:bCs/>
                <w:color w:val="auto"/>
                <w:sz w:val="24"/>
                <w:szCs w:val="24"/>
              </w:rPr>
              <w:t>；</w:t>
            </w:r>
          </w:p>
          <w:p w14:paraId="08041A0A">
            <w:pPr>
              <w:pStyle w:val="7"/>
              <w:keepNext w:val="0"/>
              <w:keepLines w:val="0"/>
              <w:pageBreakBefore w:val="0"/>
              <w:widowControl w:val="0"/>
              <w:numPr>
                <w:ilvl w:val="0"/>
                <w:numId w:val="1"/>
              </w:numPr>
              <w:kinsoku/>
              <w:wordWrap/>
              <w:overflowPunct/>
              <w:topLinePunct w:val="0"/>
              <w:autoSpaceDE/>
              <w:autoSpaceDN/>
              <w:bidi w:val="0"/>
              <w:adjustRightInd/>
              <w:spacing w:line="500" w:lineRule="exact"/>
              <w:ind w:firstLineChars="0"/>
              <w:jc w:val="left"/>
              <w:textAlignment w:val="auto"/>
              <w:rPr>
                <w:rFonts w:hint="eastAsia" w:ascii="楷体" w:hAnsi="楷体" w:eastAsia="楷体" w:cs="楷体"/>
                <w:bCs/>
                <w:color w:val="auto"/>
                <w:sz w:val="24"/>
                <w:szCs w:val="24"/>
              </w:rPr>
            </w:pPr>
            <w:r>
              <w:rPr>
                <w:rFonts w:hint="eastAsia" w:ascii="楷体" w:hAnsi="楷体" w:eastAsia="楷体" w:cs="楷体"/>
                <w:bCs/>
                <w:color w:val="auto"/>
                <w:sz w:val="24"/>
                <w:szCs w:val="24"/>
              </w:rPr>
              <w:t>提供7×24小时服务，2小时内响应，4小时内恢复故障；</w:t>
            </w:r>
          </w:p>
          <w:p w14:paraId="5DCF56AD">
            <w:pPr>
              <w:pStyle w:val="7"/>
              <w:keepNext w:val="0"/>
              <w:keepLines w:val="0"/>
              <w:pageBreakBefore w:val="0"/>
              <w:widowControl w:val="0"/>
              <w:numPr>
                <w:ilvl w:val="0"/>
                <w:numId w:val="1"/>
              </w:numPr>
              <w:kinsoku/>
              <w:wordWrap/>
              <w:overflowPunct/>
              <w:topLinePunct w:val="0"/>
              <w:autoSpaceDE/>
              <w:autoSpaceDN/>
              <w:bidi w:val="0"/>
              <w:adjustRightInd/>
              <w:spacing w:line="500" w:lineRule="exact"/>
              <w:ind w:firstLineChars="0"/>
              <w:jc w:val="left"/>
              <w:textAlignment w:val="auto"/>
              <w:rPr>
                <w:rFonts w:hint="eastAsia" w:ascii="楷体" w:hAnsi="楷体" w:eastAsia="楷体" w:cs="楷体"/>
                <w:bCs/>
                <w:color w:val="auto"/>
                <w:sz w:val="24"/>
                <w:szCs w:val="24"/>
              </w:rPr>
            </w:pPr>
            <w:r>
              <w:rPr>
                <w:rFonts w:hint="eastAsia" w:ascii="楷体" w:hAnsi="楷体" w:eastAsia="楷体" w:cs="楷体"/>
                <w:bCs/>
                <w:color w:val="auto"/>
                <w:sz w:val="24"/>
                <w:szCs w:val="24"/>
              </w:rPr>
              <w:t>提供销售、售后维护人员及业务联系方式。</w:t>
            </w:r>
          </w:p>
        </w:tc>
      </w:tr>
      <w:tr w14:paraId="3862C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044" w:type="dxa"/>
            <w:tcBorders>
              <w:top w:val="single" w:color="auto" w:sz="4" w:space="0"/>
              <w:bottom w:val="single" w:color="auto" w:sz="4" w:space="0"/>
              <w:right w:val="single" w:color="auto" w:sz="4" w:space="0"/>
            </w:tcBorders>
            <w:vAlign w:val="center"/>
          </w:tcPr>
          <w:p w14:paraId="5CCD361C">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color w:val="auto"/>
                <w:sz w:val="22"/>
                <w:szCs w:val="22"/>
              </w:rPr>
            </w:pPr>
            <w:r>
              <w:rPr>
                <w:rFonts w:hint="eastAsia" w:ascii="楷体" w:hAnsi="楷体" w:eastAsia="楷体" w:cs="楷体"/>
                <w:b/>
                <w:color w:val="auto"/>
                <w:sz w:val="22"/>
                <w:szCs w:val="22"/>
              </w:rPr>
              <w:t>施工要求</w:t>
            </w:r>
          </w:p>
        </w:tc>
        <w:tc>
          <w:tcPr>
            <w:tcW w:w="8140" w:type="dxa"/>
            <w:tcBorders>
              <w:top w:val="single" w:color="auto" w:sz="4" w:space="0"/>
              <w:left w:val="single" w:color="auto" w:sz="4" w:space="0"/>
              <w:bottom w:val="single" w:color="auto" w:sz="4" w:space="0"/>
            </w:tcBorders>
            <w:vAlign w:val="center"/>
          </w:tcPr>
          <w:p w14:paraId="2EC049BA">
            <w:pPr>
              <w:pStyle w:val="7"/>
              <w:keepNext w:val="0"/>
              <w:keepLines w:val="0"/>
              <w:pageBreakBefore w:val="0"/>
              <w:widowControl w:val="0"/>
              <w:numPr>
                <w:ilvl w:val="0"/>
                <w:numId w:val="1"/>
              </w:numPr>
              <w:kinsoku/>
              <w:wordWrap/>
              <w:overflowPunct/>
              <w:topLinePunct w:val="0"/>
              <w:autoSpaceDE/>
              <w:autoSpaceDN/>
              <w:bidi w:val="0"/>
              <w:adjustRightInd/>
              <w:spacing w:line="500" w:lineRule="exact"/>
              <w:ind w:firstLineChars="0"/>
              <w:jc w:val="left"/>
              <w:textAlignment w:val="auto"/>
              <w:rPr>
                <w:rFonts w:hint="eastAsia" w:ascii="楷体" w:hAnsi="楷体" w:eastAsia="楷体" w:cs="楷体"/>
                <w:bCs/>
                <w:color w:val="auto"/>
                <w:sz w:val="24"/>
                <w:szCs w:val="24"/>
              </w:rPr>
            </w:pPr>
            <w:r>
              <w:rPr>
                <w:rFonts w:hint="eastAsia" w:ascii="楷体" w:hAnsi="楷体" w:eastAsia="楷体" w:cs="楷体"/>
                <w:bCs/>
                <w:color w:val="auto"/>
                <w:sz w:val="24"/>
                <w:szCs w:val="24"/>
              </w:rPr>
              <w:t>签定合同起10个自然日内</w:t>
            </w:r>
            <w:r>
              <w:rPr>
                <w:rFonts w:hint="eastAsia" w:ascii="楷体" w:hAnsi="楷体" w:eastAsia="楷体" w:cs="楷体"/>
                <w:bCs/>
                <w:color w:val="auto"/>
                <w:sz w:val="24"/>
                <w:szCs w:val="24"/>
                <w:lang w:val="en-US" w:eastAsia="zh-CN"/>
              </w:rPr>
              <w:t>开始数据整理工作</w:t>
            </w:r>
            <w:r>
              <w:rPr>
                <w:rFonts w:hint="eastAsia" w:ascii="楷体" w:hAnsi="楷体" w:eastAsia="楷体" w:cs="楷体"/>
                <w:bCs/>
                <w:color w:val="auto"/>
                <w:sz w:val="24"/>
                <w:szCs w:val="24"/>
              </w:rPr>
              <w:t>。</w:t>
            </w:r>
          </w:p>
        </w:tc>
      </w:tr>
      <w:tr w14:paraId="089E0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044" w:type="dxa"/>
            <w:tcBorders>
              <w:top w:val="single" w:color="auto" w:sz="4" w:space="0"/>
              <w:bottom w:val="single" w:color="auto" w:sz="4" w:space="0"/>
              <w:right w:val="single" w:color="auto" w:sz="4" w:space="0"/>
            </w:tcBorders>
            <w:vAlign w:val="center"/>
          </w:tcPr>
          <w:p w14:paraId="6EEECAD2">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color w:val="auto"/>
                <w:sz w:val="22"/>
                <w:szCs w:val="22"/>
              </w:rPr>
            </w:pPr>
            <w:r>
              <w:rPr>
                <w:rFonts w:hint="eastAsia" w:ascii="楷体" w:hAnsi="楷体" w:eastAsia="楷体" w:cs="楷体"/>
                <w:b/>
                <w:color w:val="auto"/>
                <w:sz w:val="22"/>
                <w:szCs w:val="22"/>
              </w:rPr>
              <w:t>用户案例</w:t>
            </w:r>
          </w:p>
        </w:tc>
        <w:tc>
          <w:tcPr>
            <w:tcW w:w="8140" w:type="dxa"/>
            <w:tcBorders>
              <w:top w:val="single" w:color="auto" w:sz="4" w:space="0"/>
              <w:left w:val="single" w:color="auto" w:sz="4" w:space="0"/>
              <w:bottom w:val="single" w:color="auto" w:sz="4" w:space="0"/>
            </w:tcBorders>
            <w:vAlign w:val="center"/>
          </w:tcPr>
          <w:p w14:paraId="670A144C">
            <w:pPr>
              <w:pStyle w:val="7"/>
              <w:keepNext w:val="0"/>
              <w:keepLines w:val="0"/>
              <w:pageBreakBefore w:val="0"/>
              <w:widowControl w:val="0"/>
              <w:numPr>
                <w:ilvl w:val="0"/>
                <w:numId w:val="1"/>
              </w:numPr>
              <w:kinsoku/>
              <w:wordWrap/>
              <w:overflowPunct/>
              <w:topLinePunct w:val="0"/>
              <w:autoSpaceDE/>
              <w:autoSpaceDN/>
              <w:bidi w:val="0"/>
              <w:adjustRightInd/>
              <w:spacing w:line="500" w:lineRule="exact"/>
              <w:ind w:firstLineChars="0"/>
              <w:jc w:val="left"/>
              <w:textAlignment w:val="auto"/>
              <w:rPr>
                <w:rFonts w:hint="eastAsia" w:ascii="楷体" w:hAnsi="楷体" w:eastAsia="楷体" w:cs="楷体"/>
                <w:bCs/>
                <w:color w:val="auto"/>
                <w:sz w:val="24"/>
                <w:szCs w:val="24"/>
              </w:rPr>
            </w:pPr>
            <w:r>
              <w:rPr>
                <w:rFonts w:hint="eastAsia" w:ascii="楷体" w:hAnsi="楷体" w:eastAsia="楷体" w:cs="楷体"/>
                <w:bCs/>
                <w:color w:val="auto"/>
                <w:sz w:val="24"/>
                <w:szCs w:val="24"/>
              </w:rPr>
              <w:t>须提供近三年内与本次招标服务要求相当或类似的不少于3个案例，提供合同复印件或用户签字盖章的证明文件。</w:t>
            </w:r>
          </w:p>
        </w:tc>
      </w:tr>
      <w:tr w14:paraId="61F79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2044" w:type="dxa"/>
            <w:tcBorders>
              <w:top w:val="single" w:color="auto" w:sz="4" w:space="0"/>
              <w:bottom w:val="single" w:color="auto" w:sz="4" w:space="0"/>
              <w:right w:val="single" w:color="auto" w:sz="4" w:space="0"/>
            </w:tcBorders>
            <w:vAlign w:val="center"/>
          </w:tcPr>
          <w:p w14:paraId="26709172">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00" w:lineRule="exact"/>
              <w:jc w:val="center"/>
              <w:textAlignment w:val="auto"/>
              <w:rPr>
                <w:rFonts w:hint="eastAsia" w:ascii="楷体" w:hAnsi="楷体" w:eastAsia="楷体" w:cs="楷体"/>
                <w:b/>
                <w:color w:val="auto"/>
                <w:sz w:val="22"/>
                <w:szCs w:val="22"/>
                <w:highlight w:val="none"/>
              </w:rPr>
            </w:pPr>
            <w:r>
              <w:rPr>
                <w:rFonts w:hint="eastAsia" w:ascii="楷体" w:hAnsi="楷体" w:eastAsia="楷体" w:cs="楷体"/>
                <w:b/>
                <w:color w:val="auto"/>
                <w:sz w:val="22"/>
                <w:szCs w:val="22"/>
                <w:highlight w:val="none"/>
              </w:rPr>
              <w:t>商务报价</w:t>
            </w:r>
          </w:p>
        </w:tc>
        <w:tc>
          <w:tcPr>
            <w:tcW w:w="8140" w:type="dxa"/>
            <w:tcBorders>
              <w:top w:val="single" w:color="auto" w:sz="4" w:space="0"/>
              <w:left w:val="single" w:color="auto" w:sz="4" w:space="0"/>
              <w:bottom w:val="single" w:color="auto" w:sz="4" w:space="0"/>
            </w:tcBorders>
            <w:vAlign w:val="center"/>
          </w:tcPr>
          <w:p w14:paraId="2CF37C4D">
            <w:pPr>
              <w:pStyle w:val="7"/>
              <w:keepNext w:val="0"/>
              <w:keepLines w:val="0"/>
              <w:pageBreakBefore w:val="0"/>
              <w:widowControl w:val="0"/>
              <w:numPr>
                <w:ilvl w:val="0"/>
                <w:numId w:val="1"/>
              </w:numPr>
              <w:kinsoku/>
              <w:wordWrap/>
              <w:overflowPunct/>
              <w:topLinePunct w:val="0"/>
              <w:autoSpaceDE/>
              <w:autoSpaceDN/>
              <w:bidi w:val="0"/>
              <w:adjustRightInd/>
              <w:spacing w:line="500" w:lineRule="exact"/>
              <w:ind w:firstLineChars="0"/>
              <w:jc w:val="left"/>
              <w:textAlignment w:val="auto"/>
              <w:rPr>
                <w:rFonts w:hint="eastAsia" w:ascii="楷体" w:hAnsi="楷体" w:eastAsia="楷体" w:cs="楷体"/>
                <w:bCs/>
                <w:color w:val="auto"/>
                <w:sz w:val="24"/>
                <w:szCs w:val="24"/>
                <w:highlight w:val="none"/>
              </w:rPr>
            </w:pPr>
            <w:r>
              <w:rPr>
                <w:rFonts w:hint="eastAsia" w:ascii="楷体" w:hAnsi="楷体" w:eastAsia="楷体" w:cs="楷体"/>
                <w:bCs/>
                <w:color w:val="auto"/>
                <w:sz w:val="24"/>
                <w:szCs w:val="24"/>
                <w:highlight w:val="none"/>
              </w:rPr>
              <w:t>本次招标签约服务有效期为1年。</w:t>
            </w:r>
          </w:p>
        </w:tc>
      </w:tr>
    </w:tbl>
    <w:p w14:paraId="22975685">
      <w:pPr>
        <w:keepNext w:val="0"/>
        <w:keepLines w:val="0"/>
        <w:widowControl w:val="0"/>
        <w:numPr>
          <w:ilvl w:val="0"/>
          <w:numId w:val="2"/>
        </w:numPr>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服务资格要求</w:t>
      </w:r>
    </w:p>
    <w:p w14:paraId="78161C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textAlignment w:val="baseline"/>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1、法定条件：具备《中华人民共和国政府采购法》第二十二条第一款规定的条件。</w:t>
      </w:r>
    </w:p>
    <w:p w14:paraId="01EBE0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textAlignment w:val="baseline"/>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2、特定条件：无</w:t>
      </w:r>
    </w:p>
    <w:p w14:paraId="3332C693">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四、商务条件</w:t>
      </w:r>
    </w:p>
    <w:p w14:paraId="1B000377">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left"/>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1、交付地点：泉州幼儿师范高等专科学校（采购人指定地点）</w:t>
      </w:r>
      <w:r>
        <w:rPr>
          <w:rFonts w:hint="eastAsia" w:ascii="仿宋_GB2312" w:hAnsi="Times New Roman" w:eastAsia="仿宋_GB2312" w:cs="仿宋_GB2312"/>
          <w:color w:val="000000"/>
          <w:kern w:val="0"/>
          <w:sz w:val="32"/>
          <w:szCs w:val="32"/>
          <w:lang w:val="en-US" w:eastAsia="zh-CN" w:bidi="ar"/>
        </w:rPr>
        <w:br w:type="textWrapping"/>
      </w:r>
      <w:r>
        <w:rPr>
          <w:rFonts w:hint="eastAsia" w:ascii="仿宋_GB2312" w:hAnsi="Times New Roman" w:eastAsia="仿宋_GB2312" w:cs="仿宋_GB2312"/>
          <w:color w:val="000000"/>
          <w:kern w:val="0"/>
          <w:sz w:val="32"/>
          <w:szCs w:val="32"/>
          <w:lang w:val="en-US" w:eastAsia="zh-CN" w:bidi="ar"/>
        </w:rPr>
        <w:t>2、交付时间：合同生效起10个自然日内开通交付使用。</w:t>
      </w:r>
      <w:r>
        <w:rPr>
          <w:rFonts w:hint="eastAsia" w:ascii="仿宋_GB2312" w:hAnsi="Times New Roman" w:eastAsia="仿宋_GB2312" w:cs="仿宋_GB2312"/>
          <w:color w:val="000000"/>
          <w:kern w:val="0"/>
          <w:sz w:val="32"/>
          <w:szCs w:val="32"/>
          <w:lang w:val="en-US" w:eastAsia="zh-CN" w:bidi="ar"/>
        </w:rPr>
        <w:br w:type="textWrapping"/>
      </w:r>
      <w:r>
        <w:rPr>
          <w:rFonts w:hint="eastAsia" w:ascii="仿宋_GB2312" w:hAnsi="Times New Roman" w:eastAsia="仿宋_GB2312" w:cs="仿宋_GB2312"/>
          <w:color w:val="000000"/>
          <w:kern w:val="0"/>
          <w:sz w:val="32"/>
          <w:szCs w:val="32"/>
          <w:lang w:val="en-US" w:eastAsia="zh-CN" w:bidi="ar"/>
        </w:rPr>
        <w:t>3、交付条件：符合采购文件及采购合同要求。</w:t>
      </w:r>
      <w:r>
        <w:rPr>
          <w:rFonts w:hint="eastAsia" w:ascii="仿宋_GB2312" w:hAnsi="Times New Roman" w:eastAsia="仿宋_GB2312" w:cs="仿宋_GB2312"/>
          <w:color w:val="000000"/>
          <w:kern w:val="0"/>
          <w:sz w:val="32"/>
          <w:szCs w:val="32"/>
          <w:lang w:val="en-US" w:eastAsia="zh-CN" w:bidi="ar"/>
        </w:rPr>
        <w:br w:type="textWrapping"/>
      </w:r>
      <w:r>
        <w:rPr>
          <w:rFonts w:hint="eastAsia" w:ascii="仿宋_GB2312" w:hAnsi="Times New Roman" w:eastAsia="仿宋_GB2312" w:cs="仿宋_GB2312"/>
          <w:color w:val="000000"/>
          <w:kern w:val="0"/>
          <w:sz w:val="32"/>
          <w:szCs w:val="32"/>
          <w:lang w:val="en-US" w:eastAsia="zh-CN" w:bidi="ar"/>
        </w:rPr>
        <w:t>4、是否收取履约保证金：否</w:t>
      </w:r>
      <w:r>
        <w:rPr>
          <w:rFonts w:hint="eastAsia" w:ascii="仿宋_GB2312" w:hAnsi="Times New Roman" w:eastAsia="仿宋_GB2312" w:cs="仿宋_GB2312"/>
          <w:color w:val="000000"/>
          <w:kern w:val="0"/>
          <w:sz w:val="32"/>
          <w:szCs w:val="32"/>
          <w:lang w:val="en-US" w:eastAsia="zh-CN" w:bidi="ar"/>
        </w:rPr>
        <w:br w:type="textWrapping"/>
      </w:r>
      <w:r>
        <w:rPr>
          <w:rFonts w:hint="eastAsia" w:ascii="仿宋_GB2312" w:hAnsi="Times New Roman" w:eastAsia="仿宋_GB2312" w:cs="仿宋_GB2312"/>
          <w:color w:val="000000"/>
          <w:kern w:val="0"/>
          <w:sz w:val="32"/>
          <w:szCs w:val="32"/>
          <w:lang w:val="en-US" w:eastAsia="zh-CN" w:bidi="ar"/>
        </w:rPr>
        <w:t>5、是否邀请投标人参与验收：否</w:t>
      </w:r>
    </w:p>
    <w:p w14:paraId="3B48596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left"/>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6、验收:按采购文件及采购合同要求验收</w:t>
      </w:r>
      <w:r>
        <w:rPr>
          <w:rFonts w:hint="eastAsia" w:ascii="仿宋_GB2312" w:hAnsi="Times New Roman" w:eastAsia="仿宋_GB2312" w:cs="仿宋_GB2312"/>
          <w:color w:val="000000"/>
          <w:kern w:val="0"/>
          <w:sz w:val="32"/>
          <w:szCs w:val="32"/>
          <w:lang w:val="en-US" w:eastAsia="zh-CN" w:bidi="ar"/>
        </w:rPr>
        <w:br w:type="textWrapping"/>
      </w:r>
      <w:r>
        <w:rPr>
          <w:rFonts w:hint="eastAsia" w:ascii="仿宋_GB2312" w:hAnsi="Times New Roman" w:eastAsia="仿宋_GB2312" w:cs="仿宋_GB2312"/>
          <w:color w:val="000000"/>
          <w:kern w:val="0"/>
          <w:sz w:val="32"/>
          <w:szCs w:val="32"/>
          <w:lang w:val="en-US" w:eastAsia="zh-CN" w:bidi="ar"/>
        </w:rPr>
        <w:t>7、验收方式数据表格</w:t>
      </w:r>
    </w:p>
    <w:tbl>
      <w:tblPr>
        <w:tblStyle w:val="3"/>
        <w:tblW w:w="5000" w:type="pct"/>
        <w:tblCellSpacing w:w="0" w:type="dxa"/>
        <w:tblInd w:w="1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664"/>
        <w:gridCol w:w="6662"/>
      </w:tblGrid>
      <w:tr w14:paraId="1A3628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blCellSpacing w:w="0" w:type="dxa"/>
        </w:trPr>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4639B0FB">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验收期次</w:t>
            </w:r>
          </w:p>
        </w:tc>
        <w:tc>
          <w:tcPr>
            <w:tcW w:w="4000" w:type="pct"/>
            <w:tcBorders>
              <w:top w:val="single" w:color="auto" w:sz="4" w:space="0"/>
              <w:left w:val="single" w:color="auto" w:sz="4" w:space="0"/>
              <w:bottom w:val="single" w:color="auto" w:sz="4" w:space="0"/>
              <w:right w:val="single" w:color="auto" w:sz="4" w:space="0"/>
            </w:tcBorders>
            <w:shd w:val="clear" w:color="auto" w:fill="auto"/>
            <w:vAlign w:val="center"/>
          </w:tcPr>
          <w:p w14:paraId="648F5981">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验收期次说明</w:t>
            </w:r>
          </w:p>
        </w:tc>
      </w:tr>
      <w:tr w14:paraId="70D6B1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999" w:type="pct"/>
            <w:tcBorders>
              <w:left w:val="single" w:color="auto" w:sz="4" w:space="0"/>
              <w:bottom w:val="single" w:color="auto" w:sz="4" w:space="0"/>
              <w:right w:val="single" w:color="auto" w:sz="4" w:space="0"/>
            </w:tcBorders>
            <w:shd w:val="clear" w:color="auto" w:fill="auto"/>
            <w:vAlign w:val="center"/>
          </w:tcPr>
          <w:p w14:paraId="70E06FF1">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w:t>
            </w:r>
          </w:p>
        </w:tc>
        <w:tc>
          <w:tcPr>
            <w:tcW w:w="0" w:type="auto"/>
            <w:tcBorders>
              <w:left w:val="single" w:color="auto" w:sz="4" w:space="0"/>
              <w:bottom w:val="single" w:color="auto" w:sz="4" w:space="0"/>
            </w:tcBorders>
            <w:shd w:val="clear" w:color="auto" w:fill="auto"/>
            <w:vAlign w:val="center"/>
          </w:tcPr>
          <w:p w14:paraId="7B5BF884">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按照采购文件及采购合同要求执行。</w:t>
            </w:r>
          </w:p>
        </w:tc>
      </w:tr>
    </w:tbl>
    <w:p w14:paraId="4EA9EBB7">
      <w:pPr>
        <w:keepNext w:val="0"/>
        <w:keepLines w:val="0"/>
        <w:widowControl/>
        <w:suppressLineNumbers w:val="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7、支付方式数据表格</w:t>
      </w:r>
    </w:p>
    <w:tbl>
      <w:tblPr>
        <w:tblStyle w:val="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358"/>
        <w:gridCol w:w="2098"/>
        <w:gridCol w:w="4880"/>
      </w:tblGrid>
      <w:tr w14:paraId="493EC0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blCellSpacing w:w="0" w:type="dxa"/>
        </w:trPr>
        <w:tc>
          <w:tcPr>
            <w:tcW w:w="814" w:type="pct"/>
            <w:shd w:val="clear" w:color="auto" w:fill="auto"/>
            <w:vAlign w:val="center"/>
          </w:tcPr>
          <w:p w14:paraId="112B9A29">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支付期次</w:t>
            </w:r>
          </w:p>
        </w:tc>
        <w:tc>
          <w:tcPr>
            <w:tcW w:w="1258" w:type="pct"/>
            <w:shd w:val="clear" w:color="auto" w:fill="auto"/>
            <w:vAlign w:val="center"/>
          </w:tcPr>
          <w:p w14:paraId="51AF9823">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支付比例(%)</w:t>
            </w:r>
          </w:p>
        </w:tc>
        <w:tc>
          <w:tcPr>
            <w:tcW w:w="2926" w:type="pct"/>
            <w:shd w:val="clear" w:color="auto" w:fill="auto"/>
            <w:vAlign w:val="center"/>
          </w:tcPr>
          <w:p w14:paraId="132249FB">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支付期次说明</w:t>
            </w:r>
          </w:p>
        </w:tc>
      </w:tr>
      <w:tr w14:paraId="10EE7B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14" w:type="pct"/>
            <w:shd w:val="clear" w:color="auto" w:fill="auto"/>
            <w:vAlign w:val="center"/>
          </w:tcPr>
          <w:p w14:paraId="3E1C28C9">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w:t>
            </w:r>
          </w:p>
        </w:tc>
        <w:tc>
          <w:tcPr>
            <w:tcW w:w="1258" w:type="pct"/>
            <w:shd w:val="clear" w:color="auto" w:fill="auto"/>
            <w:vAlign w:val="center"/>
          </w:tcPr>
          <w:p w14:paraId="0F0ACAA6">
            <w:pPr>
              <w:keepNext w:val="0"/>
              <w:keepLines w:val="0"/>
              <w:widowControl/>
              <w:suppressLineNumbers w:val="0"/>
              <w:spacing w:before="0" w:beforeAutospacing="0" w:after="0" w:afterAutospacing="0"/>
              <w:ind w:left="0" w:right="0"/>
              <w:jc w:val="center"/>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100</w:t>
            </w:r>
          </w:p>
        </w:tc>
        <w:tc>
          <w:tcPr>
            <w:tcW w:w="2926" w:type="pct"/>
            <w:shd w:val="clear" w:color="auto" w:fill="auto"/>
            <w:vAlign w:val="center"/>
          </w:tcPr>
          <w:p w14:paraId="3E28F666">
            <w:pPr>
              <w:keepNext w:val="0"/>
              <w:keepLines w:val="0"/>
              <w:widowControl/>
              <w:suppressLineNumbers w:val="0"/>
              <w:spacing w:before="0" w:beforeAutospacing="0" w:after="0" w:afterAutospacing="0"/>
              <w:ind w:left="0" w:right="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接口开通后，验收合格，成交人须提供等额增值税普通发票。</w:t>
            </w:r>
          </w:p>
        </w:tc>
      </w:tr>
    </w:tbl>
    <w:p w14:paraId="6F609929">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五、售后服务</w:t>
      </w:r>
    </w:p>
    <w:p w14:paraId="19AE0792">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服务期：合同签订日后一年。</w:t>
      </w:r>
    </w:p>
    <w:p w14:paraId="04DD21AA">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2</w:t>
      </w:r>
      <w:r>
        <w:rPr>
          <w:rFonts w:hint="default" w:ascii="仿宋_GB2312" w:hAnsi="Times New Roman" w:eastAsia="仿宋_GB2312" w:cs="仿宋_GB2312"/>
          <w:color w:val="000000"/>
          <w:kern w:val="0"/>
          <w:sz w:val="32"/>
          <w:szCs w:val="32"/>
          <w:lang w:val="en-US" w:eastAsia="zh-CN" w:bidi="ar"/>
        </w:rPr>
        <w:t>、售后服务</w:t>
      </w:r>
      <w:r>
        <w:rPr>
          <w:rFonts w:hint="eastAsia" w:ascii="仿宋_GB2312" w:hAnsi="Times New Roman" w:eastAsia="仿宋_GB2312" w:cs="仿宋_GB2312"/>
          <w:color w:val="000000"/>
          <w:kern w:val="0"/>
          <w:sz w:val="32"/>
          <w:szCs w:val="32"/>
          <w:lang w:val="en-US" w:eastAsia="zh-CN" w:bidi="ar"/>
        </w:rPr>
        <w:t>要求</w:t>
      </w:r>
      <w:r>
        <w:rPr>
          <w:rFonts w:hint="default" w:ascii="仿宋_GB2312" w:hAnsi="Times New Roman" w:eastAsia="仿宋_GB2312" w:cs="仿宋_GB2312"/>
          <w:color w:val="000000"/>
          <w:kern w:val="0"/>
          <w:sz w:val="32"/>
          <w:szCs w:val="32"/>
          <w:lang w:val="en-US" w:eastAsia="zh-CN" w:bidi="ar"/>
        </w:rPr>
        <w:t>；</w:t>
      </w:r>
    </w:p>
    <w:p w14:paraId="0F67336A">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（１）</w:t>
      </w:r>
      <w:r>
        <w:rPr>
          <w:rFonts w:hint="default" w:ascii="仿宋_GB2312" w:hAnsi="Times New Roman" w:eastAsia="仿宋_GB2312" w:cs="仿宋_GB2312"/>
          <w:color w:val="000000"/>
          <w:kern w:val="0"/>
          <w:sz w:val="32"/>
          <w:szCs w:val="32"/>
          <w:lang w:val="en-US" w:eastAsia="zh-CN" w:bidi="ar"/>
        </w:rPr>
        <w:t>保证有专业维护队伍提供维护保障，确保</w:t>
      </w:r>
      <w:r>
        <w:rPr>
          <w:rFonts w:hint="eastAsia" w:ascii="仿宋_GB2312" w:hAnsi="Times New Roman" w:eastAsia="仿宋_GB2312" w:cs="仿宋_GB2312"/>
          <w:color w:val="000000"/>
          <w:kern w:val="0"/>
          <w:sz w:val="32"/>
          <w:szCs w:val="32"/>
          <w:lang w:val="en-US" w:eastAsia="zh-CN" w:bidi="ar"/>
        </w:rPr>
        <w:t>数据正常同步上报</w:t>
      </w:r>
      <w:r>
        <w:rPr>
          <w:rFonts w:hint="default" w:ascii="仿宋_GB2312" w:hAnsi="Times New Roman" w:eastAsia="仿宋_GB2312" w:cs="仿宋_GB2312"/>
          <w:color w:val="000000"/>
          <w:kern w:val="0"/>
          <w:sz w:val="32"/>
          <w:szCs w:val="32"/>
          <w:lang w:val="en-US" w:eastAsia="zh-CN" w:bidi="ar"/>
        </w:rPr>
        <w:t>；</w:t>
      </w:r>
    </w:p>
    <w:p w14:paraId="7BFFAD2A">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（２）</w:t>
      </w:r>
      <w:r>
        <w:rPr>
          <w:rFonts w:hint="default" w:ascii="仿宋_GB2312" w:hAnsi="Times New Roman" w:eastAsia="仿宋_GB2312" w:cs="仿宋_GB2312"/>
          <w:color w:val="000000"/>
          <w:kern w:val="0"/>
          <w:sz w:val="32"/>
          <w:szCs w:val="32"/>
          <w:lang w:val="en-US" w:eastAsia="zh-CN" w:bidi="ar"/>
        </w:rPr>
        <w:t>提供7×24小时服务，2小时内响应，4小时内恢复故障；</w:t>
      </w:r>
    </w:p>
    <w:p w14:paraId="2E5E4B7B">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（3）</w:t>
      </w:r>
      <w:r>
        <w:rPr>
          <w:rFonts w:hint="default" w:ascii="仿宋_GB2312" w:hAnsi="Times New Roman" w:eastAsia="仿宋_GB2312" w:cs="仿宋_GB2312"/>
          <w:color w:val="000000"/>
          <w:kern w:val="0"/>
          <w:sz w:val="32"/>
          <w:szCs w:val="32"/>
          <w:lang w:val="en-US" w:eastAsia="zh-CN" w:bidi="ar"/>
        </w:rPr>
        <w:t>提供销售、售后维护人员及业务联系方式。</w:t>
      </w:r>
    </w:p>
    <w:p w14:paraId="7FFAF90A">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六、违约责任要求</w:t>
      </w:r>
    </w:p>
    <w:p w14:paraId="63861C41">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1、成交人符合验收条件的15个工作日后无正当理由不验收的，成交人有权按规定提请有关部门依法处理，并根据处理结果依法由采购人赔偿成交人损失。</w:t>
      </w:r>
    </w:p>
    <w:p w14:paraId="73986A8E">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2、成交人所提供服务不符合本合同要求的，采购人有权要求成交人进行整改，在规定时间内未完成整改的，采购人有权单方解除合同，同时成交人应向采购人赔偿该合同款总额30%的违约金。</w:t>
      </w:r>
    </w:p>
    <w:p w14:paraId="6C538A9C">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3、成交人不能按时交付服务的，每逾期1日，应按该合同款总额3‰标准向采购人支付日违约金，逾期超过15日的，采购人有权单方解除本合同，成交人除了应退还已收取的全部合同款外，同时成交人应向采购人偿付该合同款总额30%的违约金。</w:t>
      </w:r>
    </w:p>
    <w:p w14:paraId="4C505168">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4、成交人未经采购人同意单方面终止合同的，成交人除了应向采购人赔偿因合同终止导致的损失外，还应向采购人偿付该合同款总额30%的违约金。</w:t>
      </w:r>
    </w:p>
    <w:p w14:paraId="0788D98E">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5、因成交人违约对采购人造成损失的赔偿金及合同约定的违约金均可由采购人从未支付的合同款或履约保证金中扣除。</w:t>
      </w:r>
    </w:p>
    <w:p w14:paraId="4C017048">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6、因采购人原因导致成交人未能按合同约定履行的，成交人可免于承担违约责任。</w:t>
      </w:r>
    </w:p>
    <w:p w14:paraId="5B60D9CB">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仿宋_GB2312" w:hAnsi="Times New Roman" w:eastAsia="仿宋_GB2312" w:cs="仿宋_GB2312"/>
          <w:color w:val="000000"/>
          <w:kern w:val="0"/>
          <w:sz w:val="32"/>
          <w:szCs w:val="32"/>
          <w:lang w:val="en-US" w:eastAsia="zh-CN" w:bidi="ar"/>
        </w:rPr>
      </w:pPr>
    </w:p>
    <w:p w14:paraId="59DCDCA4">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仿宋_GB2312" w:hAnsi="Times New Roman" w:eastAsia="仿宋_GB2312" w:cs="仿宋_GB2312"/>
          <w:color w:val="000000"/>
          <w:kern w:val="0"/>
          <w:sz w:val="32"/>
          <w:szCs w:val="32"/>
          <w:lang w:val="en-US" w:eastAsia="zh-CN" w:bidi="ar"/>
        </w:rPr>
      </w:pPr>
    </w:p>
    <w:p w14:paraId="7636DC45">
      <w:pPr>
        <w:keepNext w:val="0"/>
        <w:keepLines w:val="0"/>
        <w:widowControl w:val="0"/>
        <w:suppressLineNumbers w:val="0"/>
        <w:autoSpaceDE w:val="0"/>
        <w:autoSpaceDN w:val="0"/>
        <w:adjustRightInd w:val="0"/>
        <w:spacing w:before="0" w:beforeAutospacing="0" w:after="0" w:afterAutospacing="0" w:line="540" w:lineRule="exact"/>
        <w:ind w:left="0" w:right="0" w:firstLine="4000" w:firstLineChars="1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 xml:space="preserve"> </w:t>
      </w:r>
    </w:p>
    <w:p w14:paraId="58555B45">
      <w:pPr>
        <w:keepNext w:val="0"/>
        <w:keepLines w:val="0"/>
        <w:widowControl w:val="0"/>
        <w:suppressLineNumbers w:val="0"/>
        <w:autoSpaceDE w:val="0"/>
        <w:autoSpaceDN w:val="0"/>
        <w:adjustRightInd w:val="0"/>
        <w:spacing w:before="0" w:beforeAutospacing="0" w:after="0" w:afterAutospacing="0" w:line="540" w:lineRule="exact"/>
        <w:ind w:right="0"/>
        <w:jc w:val="left"/>
        <w:rPr>
          <w:rFonts w:hint="eastAsia" w:ascii="Times New Roman" w:hAnsi="Times New Roman" w:eastAsia="仿宋_GB2312" w:cs="Times New Roman"/>
          <w:color w:val="000000"/>
          <w:kern w:val="0"/>
          <w:sz w:val="32"/>
          <w:szCs w:val="32"/>
          <w:lang w:eastAsia="zh-CN"/>
        </w:rPr>
      </w:pPr>
      <w:r>
        <w:rPr>
          <w:rFonts w:hint="eastAsia" w:ascii="仿宋_GB2312" w:hAnsi="Times New Roman" w:eastAsia="仿宋_GB2312" w:cs="仿宋_GB2312"/>
          <w:color w:val="000000"/>
          <w:kern w:val="0"/>
          <w:sz w:val="32"/>
          <w:szCs w:val="32"/>
          <w:lang w:val="en-US" w:eastAsia="zh-CN" w:bidi="ar"/>
        </w:rPr>
        <w:t xml:space="preserve">　　　　　　　　　                   </w:t>
      </w:r>
      <w:r>
        <w:rPr>
          <w:rFonts w:hint="eastAsia" w:ascii="Times New Roman" w:hAnsi="Times New Roman" w:eastAsia="仿宋_GB2312" w:cs="Times New Roman"/>
          <w:color w:val="000000"/>
          <w:kern w:val="0"/>
          <w:sz w:val="32"/>
          <w:szCs w:val="32"/>
          <w:lang w:eastAsia="zh-CN"/>
        </w:rPr>
        <w:t>财务资产管理处</w:t>
      </w:r>
    </w:p>
    <w:p w14:paraId="057D2B57">
      <w:pPr>
        <w:keepNext w:val="0"/>
        <w:keepLines w:val="0"/>
        <w:widowControl w:val="0"/>
        <w:suppressLineNumbers w:val="0"/>
        <w:autoSpaceDE w:val="0"/>
        <w:autoSpaceDN w:val="0"/>
        <w:adjustRightInd w:val="0"/>
        <w:spacing w:before="0" w:beforeAutospacing="0" w:after="0" w:afterAutospacing="0" w:line="540" w:lineRule="exact"/>
        <w:ind w:left="0" w:right="0" w:firstLine="4000" w:firstLineChars="125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0"/>
          <w:sz w:val="32"/>
          <w:szCs w:val="32"/>
          <w:lang w:val="en-US" w:eastAsia="zh-CN" w:bidi="ar"/>
        </w:rPr>
        <w:t>　　　　　　2025年</w:t>
      </w:r>
      <w:r>
        <w:rPr>
          <w:rFonts w:hint="eastAsia" w:ascii="Times New Roman" w:hAnsi="Times New Roman" w:eastAsia="仿宋_GB2312" w:cs="Times New Roman"/>
          <w:color w:val="000000"/>
          <w:kern w:val="0"/>
          <w:sz w:val="32"/>
          <w:szCs w:val="32"/>
          <w:lang w:val="en-US" w:eastAsia="zh-CN" w:bidi="ar"/>
        </w:rPr>
        <w:t>7</w:t>
      </w:r>
      <w:r>
        <w:rPr>
          <w:rFonts w:hint="eastAsia" w:ascii="仿宋_GB2312" w:hAnsi="Times New Roman" w:eastAsia="仿宋_GB2312" w:cs="仿宋_GB2312"/>
          <w:color w:val="000000"/>
          <w:kern w:val="0"/>
          <w:sz w:val="32"/>
          <w:szCs w:val="32"/>
          <w:lang w:val="en-US" w:eastAsia="zh-CN" w:bidi="ar"/>
        </w:rPr>
        <w:t>月1</w:t>
      </w:r>
      <w:r>
        <w:rPr>
          <w:rFonts w:hint="eastAsia"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日</w:t>
      </w:r>
      <w:bookmarkStart w:id="0" w:name="_GoBack"/>
      <w:bookmarkEnd w:id="0"/>
      <w:r>
        <w:rPr>
          <w:rFonts w:hint="default" w:ascii="Times New Roman" w:hAnsi="Times New Roman" w:eastAsia="仿宋_GB2312" w:cs="Times New Roman"/>
          <w:color w:val="000000"/>
          <w:kern w:val="2"/>
          <w:sz w:val="32"/>
          <w:szCs w:val="32"/>
          <w:lang w:val="en-US" w:eastAsia="zh-CN" w:bidi="ar"/>
        </w:rPr>
        <w:t xml:space="preserve"> </w:t>
      </w:r>
    </w:p>
    <w:p w14:paraId="33AD4E9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9B083"/>
    <w:multiLevelType w:val="singleLevel"/>
    <w:tmpl w:val="A239B083"/>
    <w:lvl w:ilvl="0" w:tentative="0">
      <w:start w:val="3"/>
      <w:numFmt w:val="chineseCounting"/>
      <w:suff w:val="nothing"/>
      <w:lvlText w:val="%1、"/>
      <w:lvlJc w:val="left"/>
      <w:rPr>
        <w:rFonts w:hint="eastAsia"/>
      </w:rPr>
    </w:lvl>
  </w:abstractNum>
  <w:abstractNum w:abstractNumId="1">
    <w:nsid w:val="727A0369"/>
    <w:multiLevelType w:val="multilevel"/>
    <w:tmpl w:val="727A0369"/>
    <w:lvl w:ilvl="0" w:tentative="0">
      <w:start w:val="1"/>
      <w:numFmt w:val="decimal"/>
      <w:lvlText w:val="%1、"/>
      <w:lvlJc w:val="left"/>
      <w:pPr>
        <w:ind w:left="360" w:hanging="360"/>
      </w:pPr>
      <w:rPr>
        <w:rFonts w:hint="default"/>
        <w:b w:val="0"/>
        <w:color w:val="auto"/>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iZDc5ODJjYjFlY2JiNjk3ZTQ4ODFiNGQ2ODRmYTIifQ=="/>
  </w:docVars>
  <w:rsids>
    <w:rsidRoot w:val="1F37796B"/>
    <w:rsid w:val="03C5319C"/>
    <w:rsid w:val="05BC7458"/>
    <w:rsid w:val="0F0C4E60"/>
    <w:rsid w:val="134F5DA3"/>
    <w:rsid w:val="1730389D"/>
    <w:rsid w:val="1F37796B"/>
    <w:rsid w:val="20D03D09"/>
    <w:rsid w:val="322D723A"/>
    <w:rsid w:val="3B8657E2"/>
    <w:rsid w:val="3BB82173"/>
    <w:rsid w:val="41BE4CC7"/>
    <w:rsid w:val="42E20466"/>
    <w:rsid w:val="449270B8"/>
    <w:rsid w:val="541C0B93"/>
    <w:rsid w:val="57680CC9"/>
    <w:rsid w:val="59544440"/>
    <w:rsid w:val="673A01FF"/>
    <w:rsid w:val="6A705459"/>
    <w:rsid w:val="7A5073DE"/>
    <w:rsid w:val="7C170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5">
    <w:name w:val="15"/>
    <w:basedOn w:val="4"/>
    <w:qFormat/>
    <w:uiPriority w:val="0"/>
    <w:rPr>
      <w:rFonts w:hint="default" w:ascii="Calibri" w:hAnsi="Calibri" w:cs="Calibri"/>
    </w:rPr>
  </w:style>
  <w:style w:type="character" w:customStyle="1" w:styleId="6">
    <w:name w:val="10"/>
    <w:basedOn w:val="4"/>
    <w:qFormat/>
    <w:uiPriority w:val="0"/>
    <w:rPr>
      <w:rFonts w:hint="default" w:ascii="Calibri" w:hAnsi="Calibri" w:cs="Calibri"/>
    </w:rPr>
  </w:style>
  <w:style w:type="paragraph" w:customStyle="1" w:styleId="7">
    <w:name w:val="列出段落1"/>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B80B1A09C83B487EB18F8CF705C1DB80_13</vt:lpwstr>
  </property>
  <property fmtid="{D5CDD505-2E9C-101B-9397-08002B2CF9AE}" pid="4" name="KSOTemplateDocerSaveRecord">
    <vt:lpwstr>eyJoZGlkIjoiMGExZWIxMjY1NzVkYzcxNjRjNDZhYjI3ZWJiZmQzNWYiLCJ1c2VySWQiOiIzMjIyMTgyNjUifQ==</vt:lpwstr>
  </property>
</Properties>
</file>